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32D4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center"/>
        <w:rPr>
          <w:rFonts w:ascii="微软雅黑" w:hAnsi="微软雅黑" w:eastAsia="微软雅黑" w:cs="微软雅黑"/>
          <w:i w:val="0"/>
          <w:iCs w:val="0"/>
          <w:caps w:val="0"/>
          <w:color w:val="333333"/>
          <w:spacing w:val="0"/>
          <w:kern w:val="0"/>
          <w:sz w:val="24"/>
          <w:szCs w:val="24"/>
          <w:lang w:val="en-US" w:eastAsia="zh-CN" w:bidi="ar"/>
        </w:rPr>
      </w:pPr>
      <w:r>
        <w:rPr>
          <w:rFonts w:hint="eastAsia" w:ascii="微软雅黑" w:hAnsi="微软雅黑" w:eastAsia="微软雅黑" w:cs="宋体"/>
          <w:b/>
          <w:color w:val="333333"/>
          <w:kern w:val="36"/>
          <w:sz w:val="38"/>
          <w:szCs w:val="38"/>
        </w:rPr>
        <w:t>合肥</w:t>
      </w:r>
      <w:r>
        <w:rPr>
          <w:rFonts w:hint="eastAsia" w:ascii="微软雅黑" w:hAnsi="微软雅黑" w:eastAsia="微软雅黑" w:cs="宋体"/>
          <w:b/>
          <w:color w:val="333333"/>
          <w:kern w:val="36"/>
          <w:sz w:val="38"/>
          <w:szCs w:val="38"/>
          <w:lang w:val="en-US" w:eastAsia="zh-CN"/>
        </w:rPr>
        <w:t>机电学校</w:t>
      </w:r>
      <w:r>
        <w:rPr>
          <w:rFonts w:hint="eastAsia" w:ascii="微软雅黑" w:hAnsi="微软雅黑" w:eastAsia="微软雅黑" w:cs="宋体"/>
          <w:b/>
          <w:color w:val="333333"/>
          <w:kern w:val="36"/>
          <w:sz w:val="38"/>
          <w:szCs w:val="38"/>
        </w:rPr>
        <w:t>202</w:t>
      </w:r>
      <w:r>
        <w:rPr>
          <w:rFonts w:hint="eastAsia" w:ascii="微软雅黑" w:hAnsi="微软雅黑" w:eastAsia="微软雅黑" w:cs="宋体"/>
          <w:b/>
          <w:color w:val="333333"/>
          <w:kern w:val="36"/>
          <w:sz w:val="38"/>
          <w:szCs w:val="38"/>
          <w:lang w:val="en-US" w:eastAsia="zh-CN"/>
        </w:rPr>
        <w:t>6</w:t>
      </w:r>
      <w:r>
        <w:rPr>
          <w:rFonts w:hint="eastAsia" w:ascii="微软雅黑" w:hAnsi="微软雅黑" w:eastAsia="微软雅黑" w:cs="宋体"/>
          <w:b/>
          <w:color w:val="333333"/>
          <w:kern w:val="36"/>
          <w:sz w:val="38"/>
          <w:szCs w:val="38"/>
        </w:rPr>
        <w:t>年春季高</w:t>
      </w:r>
      <w:r>
        <w:rPr>
          <w:rFonts w:hint="eastAsia" w:ascii="微软雅黑" w:hAnsi="微软雅黑" w:eastAsia="微软雅黑" w:cs="宋体"/>
          <w:b/>
          <w:color w:val="333333"/>
          <w:kern w:val="36"/>
          <w:sz w:val="38"/>
          <w:szCs w:val="38"/>
          <w:lang w:val="en-US" w:eastAsia="zh-CN"/>
        </w:rPr>
        <w:t>中</w:t>
      </w:r>
      <w:r>
        <w:rPr>
          <w:rFonts w:hint="eastAsia" w:ascii="微软雅黑" w:hAnsi="微软雅黑" w:eastAsia="微软雅黑" w:cs="宋体"/>
          <w:b/>
          <w:color w:val="333333"/>
          <w:kern w:val="36"/>
          <w:sz w:val="38"/>
          <w:szCs w:val="38"/>
        </w:rPr>
        <w:t>年级研学旅行活动课程服务招标公告</w:t>
      </w:r>
    </w:p>
    <w:p w14:paraId="6819C0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为推动学校综合实践活动课程的实施，培养学生探究意识、实践能力和创新精神，根据教育部等11部门《关于推进中小学生研学旅行的意见》、合肥市教育局《2026年合肥市中小学研学旅行工作提示》等文件要求，学校决定开展2026年春季学期高一高二年级研学旅行活动，现遵循公平、公正、公开的原则对该项活动课程服务进行公开招标。</w:t>
      </w:r>
    </w:p>
    <w:p w14:paraId="50A03F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b/>
          <w:bCs/>
          <w:i w:val="0"/>
          <w:iCs w:val="0"/>
          <w:caps w:val="0"/>
          <w:color w:val="333333"/>
          <w:spacing w:val="0"/>
          <w:kern w:val="0"/>
          <w:sz w:val="28"/>
          <w:szCs w:val="28"/>
          <w:lang w:val="en-US" w:eastAsia="zh-CN" w:bidi="ar"/>
        </w:rPr>
        <w:t>一、项目基本信息</w:t>
      </w:r>
    </w:p>
    <w:p w14:paraId="3E25EE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1.项目名称：合肥机电学校2026年春季高一高二年级研学旅行活动课程服务</w:t>
      </w:r>
    </w:p>
    <w:p w14:paraId="663E42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lang w:val="en-US"/>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2.招标单位：合肥机电学校</w:t>
      </w:r>
    </w:p>
    <w:p w14:paraId="46E7E2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kern w:val="0"/>
          <w:sz w:val="28"/>
          <w:szCs w:val="28"/>
          <w:lang w:val="en-US" w:eastAsia="zh-CN" w:bidi="ar"/>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3.服务对象：高一高二学生约850人，</w:t>
      </w:r>
      <w:r>
        <w:rPr>
          <w:rFonts w:hint="eastAsia" w:asciiTheme="majorEastAsia" w:hAnsiTheme="majorEastAsia" w:eastAsiaTheme="majorEastAsia" w:cstheme="majorEastAsia"/>
          <w:i w:val="0"/>
          <w:iCs w:val="0"/>
          <w:caps w:val="0"/>
          <w:color w:val="333333"/>
          <w:spacing w:val="2"/>
          <w:kern w:val="0"/>
          <w:sz w:val="28"/>
          <w:szCs w:val="28"/>
          <w:lang w:val="en-US" w:eastAsia="zh-CN" w:bidi="ar"/>
        </w:rPr>
        <w:t>带队教师约50</w:t>
      </w:r>
      <w:r>
        <w:rPr>
          <w:rFonts w:hint="eastAsia" w:asciiTheme="majorEastAsia" w:hAnsiTheme="majorEastAsia" w:eastAsiaTheme="majorEastAsia" w:cstheme="majorEastAsia"/>
          <w:i w:val="0"/>
          <w:iCs w:val="0"/>
          <w:caps w:val="0"/>
          <w:color w:val="333333"/>
          <w:spacing w:val="0"/>
          <w:kern w:val="0"/>
          <w:sz w:val="28"/>
          <w:szCs w:val="28"/>
          <w:lang w:val="en-US" w:eastAsia="zh-CN" w:bidi="ar"/>
        </w:rPr>
        <w:t xml:space="preserve">人       </w:t>
      </w:r>
    </w:p>
    <w:p w14:paraId="0B7246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heme="majorEastAsia" w:hAnsiTheme="majorEastAsia" w:eastAsiaTheme="majorEastAsia" w:cstheme="majorEastAsia"/>
          <w:i w:val="0"/>
          <w:iCs w:val="0"/>
          <w:caps w:val="0"/>
          <w:color w:val="333333"/>
          <w:spacing w:val="0"/>
          <w:sz w:val="28"/>
          <w:szCs w:val="28"/>
          <w:lang w:val="en-US"/>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4.服务时间：2026年4月—5月</w:t>
      </w:r>
    </w:p>
    <w:p w14:paraId="20A27A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2"/>
        <w:jc w:val="both"/>
        <w:rPr>
          <w:rFonts w:hint="eastAsia" w:asciiTheme="majorEastAsia" w:hAnsiTheme="majorEastAsia" w:eastAsiaTheme="majorEastAsia" w:cstheme="majorEastAsia"/>
          <w:b/>
          <w:bCs/>
          <w:i w:val="0"/>
          <w:iCs w:val="0"/>
          <w:caps w:val="0"/>
          <w:color w:val="333333"/>
          <w:spacing w:val="0"/>
          <w:kern w:val="0"/>
          <w:sz w:val="28"/>
          <w:szCs w:val="28"/>
          <w:lang w:val="en-US" w:eastAsia="zh-CN" w:bidi="ar"/>
        </w:rPr>
      </w:pPr>
      <w:r>
        <w:rPr>
          <w:rFonts w:hint="eastAsia" w:asciiTheme="majorEastAsia" w:hAnsiTheme="majorEastAsia" w:eastAsiaTheme="majorEastAsia" w:cstheme="majorEastAsia"/>
          <w:b/>
          <w:bCs/>
          <w:i w:val="0"/>
          <w:iCs w:val="0"/>
          <w:caps w:val="0"/>
          <w:color w:val="333333"/>
          <w:spacing w:val="0"/>
          <w:kern w:val="0"/>
          <w:sz w:val="28"/>
          <w:szCs w:val="28"/>
          <w:lang w:val="en-US" w:eastAsia="zh-CN" w:bidi="ar"/>
        </w:rPr>
        <w:t>二、招标内容及要求</w:t>
      </w:r>
    </w:p>
    <w:p w14:paraId="5FC3FE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2"/>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b/>
          <w:bCs/>
          <w:i w:val="0"/>
          <w:iCs w:val="0"/>
          <w:caps w:val="0"/>
          <w:color w:val="333333"/>
          <w:spacing w:val="0"/>
          <w:kern w:val="0"/>
          <w:sz w:val="28"/>
          <w:szCs w:val="28"/>
          <w:lang w:val="en-US" w:eastAsia="zh-CN" w:bidi="ar"/>
        </w:rPr>
        <w:t>1. 线路安排</w:t>
      </w:r>
    </w:p>
    <w:tbl>
      <w:tblPr>
        <w:tblStyle w:val="2"/>
        <w:tblpPr w:leftFromText="180" w:rightFromText="180" w:vertAnchor="text" w:horzAnchor="page" w:tblpX="1274" w:tblpY="536"/>
        <w:tblOverlap w:val="never"/>
        <w:tblW w:w="10070"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1880"/>
        <w:gridCol w:w="1230"/>
        <w:gridCol w:w="4858"/>
        <w:gridCol w:w="1040"/>
        <w:gridCol w:w="1062"/>
      </w:tblGrid>
      <w:tr w14:paraId="6293E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2" w:hRule="atLeast"/>
          <w:tblCellSpacing w:w="0" w:type="dxa"/>
        </w:trPr>
        <w:tc>
          <w:tcPr>
            <w:tcW w:w="188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1A8BA84C">
            <w:pPr>
              <w:widowControl/>
              <w:spacing w:before="100" w:beforeLines="0" w:beforeAutospacing="1" w:after="100" w:afterLines="0" w:afterAutospacing="1"/>
              <w:jc w:val="center"/>
              <w:textAlignment w:val="center"/>
              <w:rPr>
                <w:rFonts w:hint="default"/>
                <w:sz w:val="21"/>
                <w:szCs w:val="24"/>
              </w:rPr>
            </w:pPr>
            <w:r>
              <w:rPr>
                <w:rFonts w:hint="eastAsia"/>
                <w:kern w:val="0"/>
                <w:sz w:val="24"/>
                <w:szCs w:val="24"/>
                <w:lang w:bidi="ar"/>
              </w:rPr>
              <w:t>研学主题</w:t>
            </w:r>
          </w:p>
        </w:tc>
        <w:tc>
          <w:tcPr>
            <w:tcW w:w="123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6D7BFD53">
            <w:pPr>
              <w:widowControl/>
              <w:spacing w:before="100" w:beforeLines="0" w:beforeAutospacing="1" w:after="100" w:afterLines="0" w:afterAutospacing="1"/>
              <w:jc w:val="center"/>
              <w:textAlignment w:val="center"/>
              <w:rPr>
                <w:rFonts w:hint="default"/>
                <w:sz w:val="21"/>
                <w:szCs w:val="24"/>
              </w:rPr>
            </w:pPr>
            <w:r>
              <w:rPr>
                <w:rFonts w:hint="eastAsia"/>
                <w:kern w:val="0"/>
                <w:sz w:val="24"/>
                <w:szCs w:val="24"/>
                <w:lang w:bidi="ar"/>
              </w:rPr>
              <w:t>研学线路</w:t>
            </w:r>
          </w:p>
        </w:tc>
        <w:tc>
          <w:tcPr>
            <w:tcW w:w="4858"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5B81C7E9">
            <w:pPr>
              <w:widowControl/>
              <w:spacing w:before="100" w:beforeLines="0" w:beforeAutospacing="1" w:after="100" w:afterLines="0" w:afterAutospacing="1"/>
              <w:jc w:val="center"/>
              <w:textAlignment w:val="center"/>
              <w:rPr>
                <w:rFonts w:hint="default"/>
                <w:sz w:val="21"/>
                <w:szCs w:val="24"/>
              </w:rPr>
            </w:pPr>
            <w:r>
              <w:rPr>
                <w:rFonts w:hint="eastAsia"/>
                <w:kern w:val="0"/>
                <w:sz w:val="24"/>
                <w:szCs w:val="24"/>
                <w:lang w:bidi="ar"/>
              </w:rPr>
              <w:t>研学地点（研学课程）</w:t>
            </w:r>
          </w:p>
        </w:tc>
        <w:tc>
          <w:tcPr>
            <w:tcW w:w="104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1DE45951">
            <w:pPr>
              <w:widowControl/>
              <w:spacing w:before="100" w:beforeLines="0" w:beforeAutospacing="1" w:after="100" w:afterLines="0" w:afterAutospacing="1"/>
              <w:jc w:val="center"/>
              <w:textAlignment w:val="center"/>
              <w:rPr>
                <w:rFonts w:hint="default"/>
                <w:sz w:val="21"/>
                <w:szCs w:val="24"/>
              </w:rPr>
            </w:pPr>
            <w:r>
              <w:rPr>
                <w:rFonts w:hint="eastAsia"/>
                <w:kern w:val="0"/>
                <w:sz w:val="24"/>
                <w:szCs w:val="24"/>
                <w:lang w:bidi="ar"/>
              </w:rPr>
              <w:t>人数</w:t>
            </w:r>
          </w:p>
        </w:tc>
        <w:tc>
          <w:tcPr>
            <w:tcW w:w="1062"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6F892938">
            <w:pPr>
              <w:widowControl/>
              <w:spacing w:before="100" w:beforeLines="0" w:beforeAutospacing="1" w:after="100" w:afterLines="0" w:afterAutospacing="1"/>
              <w:jc w:val="center"/>
              <w:textAlignment w:val="center"/>
              <w:rPr>
                <w:rFonts w:hint="default"/>
                <w:sz w:val="21"/>
                <w:szCs w:val="24"/>
              </w:rPr>
            </w:pPr>
            <w:r>
              <w:rPr>
                <w:rFonts w:hint="eastAsia"/>
                <w:kern w:val="0"/>
                <w:sz w:val="24"/>
                <w:szCs w:val="24"/>
                <w:lang w:bidi="ar"/>
              </w:rPr>
              <w:t>最高限价</w:t>
            </w:r>
          </w:p>
        </w:tc>
      </w:tr>
      <w:tr w14:paraId="0846D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0" w:type="dxa"/>
        </w:trPr>
        <w:tc>
          <w:tcPr>
            <w:tcW w:w="188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0718770E">
            <w:pPr>
              <w:widowControl/>
              <w:spacing w:before="100" w:beforeLines="0" w:beforeAutospacing="1" w:after="100" w:afterLines="0" w:afterAutospacing="1"/>
              <w:jc w:val="center"/>
              <w:textAlignment w:val="center"/>
              <w:rPr>
                <w:rFonts w:hint="default"/>
                <w:sz w:val="21"/>
                <w:szCs w:val="24"/>
              </w:rPr>
            </w:pPr>
            <w:r>
              <w:rPr>
                <w:rFonts w:hint="eastAsia" w:ascii="宋体" w:hAnsi="宋体" w:cs="宋体"/>
                <w:kern w:val="0"/>
                <w:sz w:val="20"/>
                <w:szCs w:val="20"/>
                <w:lang w:bidi="ar"/>
              </w:rPr>
              <w:t>赓续红色血脉，传承大别山魂</w:t>
            </w:r>
          </w:p>
        </w:tc>
        <w:tc>
          <w:tcPr>
            <w:tcW w:w="123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61C1E627">
            <w:pPr>
              <w:widowControl/>
              <w:spacing w:before="100" w:beforeLines="0" w:beforeAutospacing="1" w:after="100" w:afterLines="0" w:afterAutospacing="1"/>
              <w:jc w:val="center"/>
              <w:textAlignment w:val="center"/>
              <w:rPr>
                <w:rFonts w:hint="default"/>
                <w:sz w:val="21"/>
                <w:szCs w:val="24"/>
              </w:rPr>
            </w:pPr>
            <w:r>
              <w:rPr>
                <w:rFonts w:hint="eastAsia"/>
                <w:kern w:val="0"/>
                <w:sz w:val="24"/>
                <w:szCs w:val="24"/>
                <w:lang w:bidi="ar"/>
              </w:rPr>
              <w:t>皖西线</w:t>
            </w:r>
          </w:p>
        </w:tc>
        <w:tc>
          <w:tcPr>
            <w:tcW w:w="4858"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5678EEFD">
            <w:pPr>
              <w:widowControl/>
              <w:spacing w:before="100" w:beforeLines="0" w:beforeAutospacing="1" w:after="100" w:afterLines="0" w:afterAutospacing="1"/>
              <w:jc w:val="left"/>
              <w:textAlignment w:val="center"/>
              <w:rPr>
                <w:rFonts w:hint="default" w:eastAsiaTheme="minorEastAsia"/>
                <w:sz w:val="21"/>
                <w:szCs w:val="24"/>
                <w:lang w:val="en-US" w:eastAsia="zh-CN"/>
              </w:rPr>
            </w:pPr>
            <w:r>
              <w:rPr>
                <w:rFonts w:hint="default"/>
                <w:kern w:val="0"/>
                <w:sz w:val="24"/>
                <w:szCs w:val="24"/>
                <w:lang w:bidi="ar"/>
              </w:rPr>
              <w:br w:type="textWrapping"/>
            </w:r>
            <w:r>
              <w:rPr>
                <w:rFonts w:hint="eastAsia"/>
                <w:kern w:val="0"/>
                <w:sz w:val="24"/>
                <w:szCs w:val="24"/>
                <w:lang w:val="en-US" w:eastAsia="zh-CN" w:bidi="ar"/>
              </w:rPr>
              <w:t>金寨、岳西、霍山红色景点、梅山水库、佛子岭水库、博物馆等</w:t>
            </w:r>
          </w:p>
        </w:tc>
        <w:tc>
          <w:tcPr>
            <w:tcW w:w="104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75BC0F35">
            <w:pPr>
              <w:widowControl/>
              <w:spacing w:before="100" w:beforeLines="0" w:beforeAutospacing="1" w:after="100" w:afterLines="0" w:afterAutospacing="1"/>
              <w:jc w:val="center"/>
              <w:textAlignment w:val="center"/>
              <w:rPr>
                <w:rFonts w:hint="default" w:eastAsiaTheme="minorEastAsia"/>
                <w:sz w:val="21"/>
                <w:szCs w:val="24"/>
                <w:lang w:val="en-US" w:eastAsia="zh-CN"/>
              </w:rPr>
            </w:pPr>
            <w:r>
              <w:rPr>
                <w:rFonts w:hint="eastAsia"/>
                <w:kern w:val="0"/>
                <w:sz w:val="24"/>
                <w:szCs w:val="24"/>
                <w:lang w:bidi="ar"/>
              </w:rPr>
              <w:t>约</w:t>
            </w:r>
            <w:r>
              <w:rPr>
                <w:rFonts w:hint="eastAsia"/>
                <w:kern w:val="0"/>
                <w:sz w:val="24"/>
                <w:szCs w:val="24"/>
                <w:lang w:val="en-US" w:eastAsia="zh-CN" w:bidi="ar"/>
              </w:rPr>
              <w:t>900</w:t>
            </w:r>
          </w:p>
        </w:tc>
        <w:tc>
          <w:tcPr>
            <w:tcW w:w="1062"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4E4BF186">
            <w:pPr>
              <w:widowControl/>
              <w:spacing w:before="100" w:beforeLines="0" w:beforeAutospacing="1" w:after="100" w:afterLines="0" w:afterAutospacing="1"/>
              <w:jc w:val="center"/>
              <w:textAlignment w:val="center"/>
              <w:rPr>
                <w:rFonts w:hint="default"/>
                <w:sz w:val="21"/>
                <w:szCs w:val="24"/>
              </w:rPr>
            </w:pPr>
            <w:r>
              <w:rPr>
                <w:rFonts w:hint="eastAsia"/>
                <w:kern w:val="0"/>
                <w:sz w:val="24"/>
                <w:szCs w:val="24"/>
                <w:lang w:val="en-US" w:eastAsia="zh-CN" w:bidi="ar"/>
              </w:rPr>
              <w:t>900</w:t>
            </w:r>
            <w:r>
              <w:rPr>
                <w:rFonts w:hint="eastAsia"/>
                <w:kern w:val="0"/>
                <w:sz w:val="24"/>
                <w:szCs w:val="24"/>
                <w:lang w:bidi="ar"/>
              </w:rPr>
              <w:t>元</w:t>
            </w:r>
          </w:p>
        </w:tc>
      </w:tr>
    </w:tbl>
    <w:p w14:paraId="325CF4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both"/>
        <w:rPr>
          <w:rFonts w:hint="eastAsia" w:asciiTheme="majorEastAsia" w:hAnsiTheme="majorEastAsia" w:eastAsiaTheme="majorEastAsia" w:cstheme="majorEastAsia"/>
          <w:i w:val="0"/>
          <w:iCs w:val="0"/>
          <w:caps w:val="0"/>
          <w:color w:val="333333"/>
          <w:spacing w:val="0"/>
          <w:sz w:val="28"/>
          <w:szCs w:val="28"/>
        </w:rPr>
      </w:pPr>
    </w:p>
    <w:p w14:paraId="2A7671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2"/>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b/>
          <w:bCs/>
          <w:i w:val="0"/>
          <w:iCs w:val="0"/>
          <w:caps w:val="0"/>
          <w:color w:val="333333"/>
          <w:spacing w:val="0"/>
          <w:kern w:val="0"/>
          <w:sz w:val="28"/>
          <w:szCs w:val="28"/>
          <w:lang w:val="en-US" w:eastAsia="zh-CN" w:bidi="ar"/>
        </w:rPr>
        <w:t>2. 资质要求</w:t>
      </w:r>
    </w:p>
    <w:p w14:paraId="70A03A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（1）注册资本金300万元及以上。</w:t>
      </w:r>
    </w:p>
    <w:p w14:paraId="500016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（2）具备固定的营业场所、健全的组织机构、一定规模的在职员工和持证专职导游员队伍。</w:t>
      </w:r>
    </w:p>
    <w:p w14:paraId="05640D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（3）设有专业研学旅行部门、专职研学导师，具有专业的研学旅行服务经验和能力。</w:t>
      </w:r>
    </w:p>
    <w:p w14:paraId="293D3B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（4）近三年在合肥市成功操作5次以上百人团队高中研学旅行的经验且具有良好口碑。</w:t>
      </w:r>
    </w:p>
    <w:p w14:paraId="5A543E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（5）近三年内无重大质量投诉记录，无不良诚信记录、经济纠纷及安全责任事故。</w:t>
      </w:r>
    </w:p>
    <w:p w14:paraId="0FC6EE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（6）挂靠旅行社谢绝参与。</w:t>
      </w:r>
    </w:p>
    <w:p w14:paraId="663655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2"/>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b/>
          <w:bCs/>
          <w:i w:val="0"/>
          <w:iCs w:val="0"/>
          <w:caps w:val="0"/>
          <w:color w:val="333333"/>
          <w:spacing w:val="0"/>
          <w:kern w:val="0"/>
          <w:sz w:val="28"/>
          <w:szCs w:val="28"/>
          <w:lang w:val="en-US" w:eastAsia="zh-CN" w:bidi="ar"/>
        </w:rPr>
        <w:t>3. 项目服务标准</w:t>
      </w:r>
    </w:p>
    <w:p w14:paraId="36CEBC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（1）严格做好各项安全防范方案，有清晰完善的应急预案和现场处置方案，旅行社承接的每条线路至少配备一名具有应急救护基本技能的安全员，持证上岗。</w:t>
      </w:r>
    </w:p>
    <w:p w14:paraId="70346C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（2）全程配备专业从事研学旅行的指导师或导游，服务热情、责任心强，按照《研学旅行服务规范》（LB/T 054—2016）及学校要求，提供研学旅行课程指导、研后服务等。</w:t>
      </w:r>
    </w:p>
    <w:p w14:paraId="08671A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（3）买齐相关保险，至少包含旅行社责任险及旅游人身意外险，投保责任险保险额不低于80万元/人，旅游人身意外险保险额不低于26万元/人。</w:t>
      </w:r>
    </w:p>
    <w:p w14:paraId="416FA9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lang w:val="en-US"/>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4）车辆要求从合肥市交通运输局和合肥市教育局指定的旅游客运企业中租用，51座及以上空调旅游大巴，安全舒适、车况好、检验合格，司机要求5年以上驾驶大型客车经验，身体健康，心理素质好，驾驶记录优良。若发现不合格车辆及驾驶员导致研学活动不能正常开展所造成的损失由中标单位承担。</w:t>
      </w:r>
    </w:p>
    <w:p w14:paraId="63B289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（5）早餐酒店自助早餐或桌早，正餐40元/人，十人一桌，确保饭菜份量和质量，营养均衡、饮食安全，用餐环境干净、卫生，出发前旅行社需提供详细菜单。</w:t>
      </w:r>
    </w:p>
    <w:p w14:paraId="2D0E2B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（6）住宿要求准四星以上标准的宾馆或酒店，两人标准间（防止单人现象出现，允许有三人间），出发前旅行社需提供宾馆或酒店名称。</w:t>
      </w:r>
    </w:p>
    <w:p w14:paraId="192181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（7）全程不安排购物点及自费项目。</w:t>
      </w:r>
    </w:p>
    <w:p w14:paraId="5F1BA9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（8）根据招标内容线路安排，结合旅行社自身实力和特色设计出1-2条具体研学线路及相关课程。</w:t>
      </w:r>
    </w:p>
    <w:p w14:paraId="0EAF29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（9）研学旅行课程服务合同由中标旅行社与学校签订，学生研学旅行费用由学校代收并根据实际与中标旅行社结算支出。带队教师产生费用根据中标单位提供据实对公发票，由学校公用经费统一支出。</w:t>
      </w:r>
    </w:p>
    <w:p w14:paraId="260423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（10）旅行社应配合学校做好家庭经济困难学生参加研学旅行活动费用的减免工作。</w:t>
      </w:r>
    </w:p>
    <w:p w14:paraId="4D163C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b/>
          <w:bCs/>
          <w:i w:val="0"/>
          <w:iCs w:val="0"/>
          <w:caps w:val="0"/>
          <w:color w:val="333333"/>
          <w:spacing w:val="0"/>
          <w:kern w:val="0"/>
          <w:sz w:val="28"/>
          <w:szCs w:val="28"/>
          <w:lang w:val="en-US" w:eastAsia="zh-CN" w:bidi="ar"/>
        </w:rPr>
        <w:t>三、投标材料要求</w:t>
      </w:r>
    </w:p>
    <w:p w14:paraId="6B9882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2"/>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b/>
          <w:bCs/>
          <w:i w:val="0"/>
          <w:iCs w:val="0"/>
          <w:caps w:val="0"/>
          <w:color w:val="333333"/>
          <w:spacing w:val="0"/>
          <w:kern w:val="0"/>
          <w:sz w:val="28"/>
          <w:szCs w:val="28"/>
          <w:lang w:val="en-US" w:eastAsia="zh-CN" w:bidi="ar"/>
        </w:rPr>
        <w:t>1. 格式要求</w:t>
      </w:r>
    </w:p>
    <w:p w14:paraId="442886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标书文本正副本各一份，不一致的以正本为准。标书密封提交，标书内容清晰完善并按以下顺序装订。</w:t>
      </w:r>
    </w:p>
    <w:p w14:paraId="086C46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2"/>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b/>
          <w:bCs/>
          <w:i w:val="0"/>
          <w:iCs w:val="0"/>
          <w:caps w:val="0"/>
          <w:color w:val="333333"/>
          <w:spacing w:val="0"/>
          <w:kern w:val="0"/>
          <w:sz w:val="28"/>
          <w:szCs w:val="28"/>
          <w:lang w:val="en-US" w:eastAsia="zh-CN" w:bidi="ar"/>
        </w:rPr>
        <w:t>2. 内容要求</w:t>
      </w:r>
    </w:p>
    <w:p w14:paraId="7B5B82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（1）目录、投标函、公司简介。</w:t>
      </w:r>
    </w:p>
    <w:p w14:paraId="5C917E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（2）公司营业执照和经营许可证扫描件、公司法定代表人身份证复印件、委托代理人授权书原件及代理人身份证复印件（所有复印件需加盖公章）。</w:t>
      </w:r>
    </w:p>
    <w:p w14:paraId="209C54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（3）固定营业场所证明材料：与营业执照地址一致的房屋租赁合同或自有房屋证明，及近三个月的支付房屋租金或物业费缴费记录等证明材料。</w:t>
      </w:r>
    </w:p>
    <w:p w14:paraId="659EDB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（4）非挂靠旅行社证明材料：包含但不限于近三个月投标公司为委托代理人缴存社保的证明材料并加盖公章。</w:t>
      </w:r>
    </w:p>
    <w:p w14:paraId="363102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（5）省市级资质荣誉等证明材料。</w:t>
      </w:r>
    </w:p>
    <w:p w14:paraId="68886B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（6）专业研学旅行部门和专职导游队伍证明材料：提供研学旅行部门成立运行、组织架构、人员组成信息等证明材料。</w:t>
      </w:r>
    </w:p>
    <w:p w14:paraId="563295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（7）在合肥市具有3年以上百人团队高中研学旅行组织经历且评价良好证明材料。</w:t>
      </w:r>
    </w:p>
    <w:p w14:paraId="6CEF18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（8）近三年内无重大质量投诉记录，无不良诚信记录，无经济纠纷及安全责任事故证明材料。</w:t>
      </w:r>
    </w:p>
    <w:p w14:paraId="48F57F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（9）全程不安排购物点及自费项目承诺书。</w:t>
      </w:r>
    </w:p>
    <w:p w14:paraId="5676A1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（10）旅行社责任保险和旅游人身意外保险材料。</w:t>
      </w:r>
    </w:p>
    <w:p w14:paraId="49A05A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（11）安全员配备情况、安全责任承诺书、安全防范方案和应急处置预案。</w:t>
      </w:r>
    </w:p>
    <w:p w14:paraId="5C9BD3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12）用车合作信息：旅行社与旅游客运公司包车协议及该客运公司营业执照和经营许可证，使用车况良好、检验合格的车辆、车辆年审合格证明材料及身心健康的5年以上大型客车驾驶经验驾驶员证明材料和投标旅行社确保履行该条款的承诺书。</w:t>
      </w:r>
    </w:p>
    <w:p w14:paraId="1F6219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（13）供应方合作信息：旅行社与下述第14条方案设计中相关的研学旅行基地等提供旅行地接、交通、住宿、餐饮等服务的机构已订立的合同。</w:t>
      </w:r>
    </w:p>
    <w:p w14:paraId="76D2ED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（14）研学旅行方案设计，包括研学主题、课程设计、景点及行程安排、就餐及住宿标准、研学任务手册、其他服务等。</w:t>
      </w:r>
    </w:p>
    <w:p w14:paraId="7E6EBA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（15）分项价目表，包括保险、交通、就餐、住宿、门票、课程、导游讲解、研学材料及综合服务费等。</w:t>
      </w:r>
    </w:p>
    <w:p w14:paraId="31336D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（16）招标单位不接受挂靠、转包行为，一经查实，投标单位愿意承担一切后果承诺书。</w:t>
      </w:r>
    </w:p>
    <w:p w14:paraId="747756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b/>
          <w:bCs/>
          <w:i w:val="0"/>
          <w:iCs w:val="0"/>
          <w:caps w:val="0"/>
          <w:color w:val="333333"/>
          <w:spacing w:val="0"/>
          <w:kern w:val="0"/>
          <w:sz w:val="28"/>
          <w:szCs w:val="28"/>
          <w:lang w:val="en-US" w:eastAsia="zh-CN" w:bidi="ar"/>
        </w:rPr>
        <w:t>四、标书投递等相关安排</w:t>
      </w:r>
    </w:p>
    <w:p w14:paraId="3A50F6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1.标书投递时间：2026年3月20日--2026年3月27</w:t>
      </w:r>
      <w:bookmarkStart w:id="0" w:name="_GoBack"/>
      <w:bookmarkEnd w:id="0"/>
      <w:r>
        <w:rPr>
          <w:rFonts w:hint="eastAsia" w:asciiTheme="majorEastAsia" w:hAnsiTheme="majorEastAsia" w:eastAsiaTheme="majorEastAsia" w:cstheme="majorEastAsia"/>
          <w:i w:val="0"/>
          <w:iCs w:val="0"/>
          <w:caps w:val="0"/>
          <w:color w:val="333333"/>
          <w:spacing w:val="0"/>
          <w:kern w:val="0"/>
          <w:sz w:val="28"/>
          <w:szCs w:val="28"/>
          <w:lang w:val="en-US" w:eastAsia="zh-CN" w:bidi="ar"/>
        </w:rPr>
        <w:t>日17：00点前，逾期不再接收标书。</w:t>
      </w:r>
    </w:p>
    <w:p w14:paraId="25B8D7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heme="majorEastAsia" w:hAnsiTheme="majorEastAsia" w:eastAsiaTheme="majorEastAsia" w:cstheme="majorEastAsia"/>
          <w:i w:val="0"/>
          <w:iCs w:val="0"/>
          <w:caps w:val="0"/>
          <w:color w:val="333333"/>
          <w:spacing w:val="0"/>
          <w:kern w:val="0"/>
          <w:sz w:val="28"/>
          <w:szCs w:val="28"/>
          <w:lang w:val="en-US" w:eastAsia="zh-CN" w:bidi="ar"/>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2. 标书投递地点：合肥机电学校西门（蜀山区紫蓬路215号）</w:t>
      </w:r>
    </w:p>
    <w:p w14:paraId="43FE0F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3. 联系人：周老师</w:t>
      </w:r>
    </w:p>
    <w:p w14:paraId="539D38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heme="majorEastAsia" w:hAnsiTheme="majorEastAsia" w:eastAsiaTheme="majorEastAsia" w:cstheme="majorEastAsia"/>
          <w:i w:val="0"/>
          <w:iCs w:val="0"/>
          <w:caps w:val="0"/>
          <w:color w:val="333333"/>
          <w:spacing w:val="0"/>
          <w:sz w:val="28"/>
          <w:szCs w:val="28"/>
          <w:lang w:val="en-US"/>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4. 联系电话：18356541749</w:t>
      </w:r>
    </w:p>
    <w:p w14:paraId="696922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b/>
          <w:bCs/>
          <w:i w:val="0"/>
          <w:iCs w:val="0"/>
          <w:caps w:val="0"/>
          <w:color w:val="333333"/>
          <w:spacing w:val="0"/>
          <w:kern w:val="0"/>
          <w:sz w:val="28"/>
          <w:szCs w:val="28"/>
          <w:lang w:val="en-US" w:eastAsia="zh-CN" w:bidi="ar"/>
        </w:rPr>
        <w:t>五、开标与评标</w:t>
      </w:r>
    </w:p>
    <w:p w14:paraId="4299D3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1. 学校成立评标小组。由学校评标小组对投标文件的真实性、可行性和资格证明材料的合法性进行审核，初步认定投标的资格有效性。</w:t>
      </w:r>
    </w:p>
    <w:p w14:paraId="22AAE8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heme="majorEastAsia" w:hAnsiTheme="majorEastAsia" w:eastAsiaTheme="majorEastAsia" w:cstheme="majorEastAsia"/>
          <w:i w:val="0"/>
          <w:iCs w:val="0"/>
          <w:caps w:val="0"/>
          <w:color w:val="333333"/>
          <w:spacing w:val="0"/>
          <w:sz w:val="28"/>
          <w:szCs w:val="28"/>
          <w:lang w:val="en-US"/>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2. 学校评标小组采用综合评标法评标。遵循公开、公平、公正、合理、科学原则，以投标文书为基础，综合考虑企业信誉、保障程度、操作经验、课程安排和报价等确定中标单位，学校不对未中标原因作解释。</w:t>
      </w:r>
    </w:p>
    <w:p w14:paraId="483B6E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3. 评标完成后学校对中标单位进行公示，并向中标单位发出中标通知。</w:t>
      </w:r>
    </w:p>
    <w:p w14:paraId="5087BA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4. 投标单位应根据成本核算合理报价，不虚报抬价，不恶意压价，不得恶意串通，相互陪标。对不正当竞争及中标后不履行者，三年内不得来校参加研学旅行招标。</w:t>
      </w:r>
    </w:p>
    <w:p w14:paraId="03E63E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5. 中标单位要严格按照本招标公告载明的要求履行义务，若中标单位未能按规定签约或执行，由此导致的一切后果由中标单位负责。</w:t>
      </w:r>
    </w:p>
    <w:p w14:paraId="45117E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b/>
          <w:bCs/>
          <w:i w:val="0"/>
          <w:iCs w:val="0"/>
          <w:caps w:val="0"/>
          <w:color w:val="333333"/>
          <w:spacing w:val="0"/>
          <w:kern w:val="0"/>
          <w:sz w:val="28"/>
          <w:szCs w:val="28"/>
          <w:lang w:val="en-US" w:eastAsia="zh-CN" w:bidi="ar"/>
        </w:rPr>
        <w:t>六、有关说明</w:t>
      </w:r>
    </w:p>
    <w:p w14:paraId="40EF4C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1. 近三年内有无重大质量投诉、不良诚信记录、经济纠纷及重大安全责任事故的查实，招标单位有权通过互联网进行了解后作为评标参考依据之一。</w:t>
      </w:r>
    </w:p>
    <w:p w14:paraId="0D7FA7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2. 中标单位需进一步做好研学旅行活动方案和安全预案，研学旅行中发生安全事故和责任事故，由中标单位承担一切责任。</w:t>
      </w:r>
    </w:p>
    <w:p w14:paraId="633249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3. 具体研学线路和日期由学校和中标单位商定。中标单位需严格履行相应承诺，不得降低服务质量，不得随意改变行程安排。</w:t>
      </w:r>
    </w:p>
    <w:p w14:paraId="36C5E8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4. 投标单位需保证其提供的所有资料真实有效，评标过程中发现虚假情况，将取消投标资格。</w:t>
      </w:r>
    </w:p>
    <w:p w14:paraId="56C85A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5. 免责申明。如因学生报名人数不够或者其他不可抗拒原因导致研学活动未能进行，学校不承担相关责任。</w:t>
      </w:r>
    </w:p>
    <w:p w14:paraId="5F7104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6. 合肥机电学校研学旅行工作领导小组对此次招标事宜有最终解释权。</w:t>
      </w:r>
    </w:p>
    <w:p w14:paraId="787B8B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 </w:t>
      </w:r>
    </w:p>
    <w:p w14:paraId="657851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 </w:t>
      </w:r>
    </w:p>
    <w:p w14:paraId="5F8BCE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240"/>
        <w:jc w:val="right"/>
        <w:rPr>
          <w:rFonts w:hint="eastAsia" w:ascii="宋体" w:hAnsi="宋体" w:eastAsia="宋体" w:cs="宋体"/>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kern w:val="0"/>
          <w:sz w:val="28"/>
          <w:szCs w:val="28"/>
          <w:lang w:val="en-US" w:eastAsia="zh-CN" w:bidi="ar"/>
        </w:rPr>
        <w:t>合肥机电学校  2026年3月20日</w:t>
      </w:r>
    </w:p>
    <w:p w14:paraId="6AC20AF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CFE309"/>
    <w:rsid w:val="1DC25C17"/>
    <w:rsid w:val="24B347DF"/>
    <w:rsid w:val="27ED1466"/>
    <w:rsid w:val="367E9347"/>
    <w:rsid w:val="42A41FEF"/>
    <w:rsid w:val="4CF95355"/>
    <w:rsid w:val="6FEDE074"/>
    <w:rsid w:val="7511081A"/>
    <w:rsid w:val="7BF9DE16"/>
    <w:rsid w:val="7D99C93A"/>
    <w:rsid w:val="7E455C82"/>
    <w:rsid w:val="7FCFE309"/>
    <w:rsid w:val="EEFF0B89"/>
    <w:rsid w:val="FDBE9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2714</Words>
  <Characters>2814</Characters>
  <Lines>0</Lines>
  <Paragraphs>0</Paragraphs>
  <TotalTime>29</TotalTime>
  <ScaleCrop>false</ScaleCrop>
  <LinksUpToDate>false</LinksUpToDate>
  <CharactersWithSpaces>2845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2026-03-12T23:21:00Z</dcterms:created>
  <dc:creator>浩浩荡荡</dc:creator>
  <cp:lastModifiedBy>染墨流年</cp:lastModifiedBy>
  <dcterms:modified xsi:type="dcterms:W3CDTF">2026-03-19T00:55:13Z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43590471A68C4ABCB0FA7D5750157B11_13</vt:lpwstr>
  </property>
  <property fmtid="{D5CDD505-2E9C-101B-9397-08002B2CF9AE}" pid="4" name="KSOTemplateDocerSaveRecord">
    <vt:lpwstr>eyJoZGlkIjoiMTg4MjAzZGQ1MzI3MWJmZWNhY2M0OTZkZTRlMzkxMjQiLCJ1c2VySWQiOiIxMTMzODIwMzUxIn0=</vt:lpwstr>
  </property>
</Properties>
</file>